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60" w:lineRule="exact"/>
        <w:ind w:left="0" w:leftChars="0" w:firstLine="639" w:firstLineChars="213"/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  <w:t>附件1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全国装备制造行业新技术应用技能竞赛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承办及协办单位申请表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23"/>
        <w:gridCol w:w="991"/>
        <w:gridCol w:w="568"/>
        <w:gridCol w:w="829"/>
        <w:gridCol w:w="1565"/>
        <w:gridCol w:w="201"/>
        <w:gridCol w:w="1024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申请类别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□承办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□协办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申办赛项</w:t>
            </w:r>
          </w:p>
        </w:tc>
        <w:tc>
          <w:tcPr>
            <w:tcW w:w="72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赛项一：加工中心操作调整工（数字化设计与制造方向）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赛项二：电子专用设备装调工(机器人智能服务方向）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赛项三：信息通信网络运行管理员S(工业物联网智能传感方向)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赛项四：信息通信信息化系统管理员 S(工业互联网视觉感知方向）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拟定合作承办单位</w:t>
            </w:r>
          </w:p>
        </w:tc>
        <w:tc>
          <w:tcPr>
            <w:tcW w:w="6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（各省(自治区、直辖市)及新疆生产建设兵团人社厅(局)，地方人民政府、人力资源社会保障局，行业大型龙头企业、省级以上产教融合型企业，技工院校、职业院校、地方行业协会或企业等,也可多方联合申报）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拟定合作协办单位</w:t>
            </w:r>
          </w:p>
        </w:tc>
        <w:tc>
          <w:tcPr>
            <w:tcW w:w="6288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（能为大赛提供比赛设备或服务的企事业单位，以及相关行业协会、技术组织等）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是否具备承办单位申办条件情况描述</w:t>
            </w:r>
          </w:p>
        </w:tc>
        <w:tc>
          <w:tcPr>
            <w:tcW w:w="770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是否具备协办单位申办条件情况描述</w:t>
            </w:r>
          </w:p>
        </w:tc>
        <w:tc>
          <w:tcPr>
            <w:tcW w:w="770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8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优势说明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ind w:right="48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7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申办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702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若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联合申报，多家申办单位均需盖章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申办单位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ind w:right="48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 xml:space="preserve">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全国装备制造行业新技术应用技能竞赛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承办组织实施方案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二、竞赛场地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三、配套设施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四、交通食宿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五、媒体宣传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六、安全保障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七、资金保障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八、配套活动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九、其他</w:t>
      </w:r>
    </w:p>
    <w:p>
      <w:pPr>
        <w:rPr>
          <w:rFonts w:ascii="仿宋" w:hAnsi="仿宋" w:eastAsia="仿宋" w:cs="仿宋"/>
          <w:spacing w:val="-3"/>
          <w:position w:val="20"/>
          <w:sz w:val="29"/>
          <w:szCs w:val="29"/>
        </w:rPr>
      </w:pPr>
      <w:r>
        <w:rPr>
          <w:rFonts w:ascii="仿宋" w:hAnsi="仿宋" w:eastAsia="仿宋" w:cs="仿宋"/>
          <w:spacing w:val="-3"/>
          <w:position w:val="20"/>
          <w:sz w:val="29"/>
          <w:szCs w:val="29"/>
        </w:rPr>
        <w:br w:type="page"/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全国装备制造行业新技术应用技能竞赛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大赛技术方案或设备技术说明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一、赛项名称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二、技术描述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三、竞赛组别与方式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四、竞赛任务设计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五、竞赛流程与时间安排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六、技术平台设计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七、主要设备技术说明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八、竞赛方案的特色与创新点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九、资金保障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十、相关优势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十一、其他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</w:p>
    <w:p/>
    <w:p/>
    <w:sectPr>
      <w:footerReference r:id="rId5" w:type="default"/>
      <w:pgSz w:w="11910" w:h="16840"/>
      <w:pgMar w:top="1497" w:right="1140" w:bottom="1497" w:left="1140" w:header="0" w:footer="150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233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ZmMzMwOGRiZmMzZTA1OTNmYjBmYmVlMDJkNTgifQ=="/>
  </w:docVars>
  <w:rsids>
    <w:rsidRoot w:val="5B4F0B40"/>
    <w:rsid w:val="01617A66"/>
    <w:rsid w:val="0F606F7C"/>
    <w:rsid w:val="118C2F9A"/>
    <w:rsid w:val="1C6B55F1"/>
    <w:rsid w:val="22D911FC"/>
    <w:rsid w:val="23B24FD9"/>
    <w:rsid w:val="372C4753"/>
    <w:rsid w:val="45CE5231"/>
    <w:rsid w:val="587578B0"/>
    <w:rsid w:val="5B4F0B40"/>
    <w:rsid w:val="67C0521E"/>
    <w:rsid w:val="79A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2259</Words>
  <Characters>2349</Characters>
  <Lines>0</Lines>
  <Paragraphs>0</Paragraphs>
  <TotalTime>27</TotalTime>
  <ScaleCrop>false</ScaleCrop>
  <LinksUpToDate>false</LinksUpToDate>
  <CharactersWithSpaces>2418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2023-07-31T16:30:00Z</dcterms:created>
  <dc:creator>gm</dc:creator>
  <cp:lastModifiedBy>鸿儒</cp:lastModifiedBy>
  <cp:lastPrinted>2023-08-02T07:27:00Z</cp:lastPrinted>
  <dcterms:modified xsi:type="dcterms:W3CDTF">2023-08-04T03:18:31Z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441326C3074741C692A8EAF51DE87568_13</vt:lpwstr>
  </property>
</Properties>
</file>